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highlight w:val="white"/>
          <w:rtl w:val="0"/>
        </w:rPr>
        <w:t xml:space="preserve">Procès verbal de la réunion du 18 février 2014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highlight w:val="white"/>
          <w:rtl w:val="0"/>
        </w:rPr>
        <w:t xml:space="preserve">Conseil exécutif de l’ASSÉ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highlight w:val="white"/>
          <w:rtl w:val="0"/>
        </w:rPr>
        <w:t xml:space="preserve">Présences 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0. Ouverture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1. Procédures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1.1 Praesidium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1.2 Lecture et adoption de l’ordre du jour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1.3 Lecture et adoption du procès verbal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sz w:val="24"/>
          <w:rtl w:val="0"/>
        </w:rPr>
        <w:t xml:space="preserve">2. TPU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3. Comment ça va?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4. Affaires courantes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5. Congrès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6. Prochaine rencontre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7. Varia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8. Levée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0. Ouverture à 19h41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Dominique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 Procédures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1.1 Praesidium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1.1.1Que Emmanuelle assure l’animation et Marie-Pier la prise de note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Appuyée par Emmanuelle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1.2 Lecture et adoption de l’ordre du jour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1.2.1 Adoption de l’ordre du jour tel que présenté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Appuyée par Virginie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1.3 Lecture et adoption du procès verbal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1.3.1 Que l’on adopte le procès-verbal de la réunion du 15 février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Appuyée par Camille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2. TPU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2.1 Une présentation-bilan de Samuel sur la rencontre TPU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Dominique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Base commune, discours commun.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3. Comment ça va?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2</w:t>
      </w:r>
      <w:r w:rsidDel="00000000" w:rsidR="00000000" w:rsidRPr="00000000">
        <w:rPr>
          <w:sz w:val="24"/>
          <w:u w:val="single"/>
          <w:rtl w:val="0"/>
        </w:rPr>
        <w:t xml:space="preserve">.1 Que l’on tienne un tour de table comment ça va 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Emmanuelle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Camille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4. Affaires courantes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4</w:t>
      </w:r>
      <w:r w:rsidDel="00000000" w:rsidR="00000000" w:rsidRPr="00000000">
        <w:rPr>
          <w:sz w:val="24"/>
          <w:u w:val="single"/>
          <w:rtl w:val="0"/>
        </w:rPr>
        <w:t xml:space="preserve">.1 Que l’on tienne un tour de table sur les affaires courantes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Virginie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4.2 Que l’on fasse une soumission pour 4000 collants « attention votre reflet dans ce miroir pourrait être déformé par les standards de beauté véhiculés dans notre société » et que l’on propose au prochain Conseil Central d’en imprimer 4000.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Dominique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5. Congrès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5.1 Que l’on tienne un tour de table sur nos impressions en vue du congrès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Appuyée par Dominique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5.2. Une plénière sur le congrès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Appuyée par Camille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